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72.5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«Этика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ИУК-3.1 знать социально-психологические процессы развития группы, основные условия эффективной командной работы для достижения поставленной цели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ИУК-3.2 уметь определять свою роль в команде; понимать особенности поведения выделенных групп людей, с которыми работает/взаимодействует</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ИУК-3.3 уметь анализировать возможные последствия личных действий в социальном взаимодействии и командной работе, строить продуктивное взаимодействие с учетом этого</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ИУК-3.4 владеть эффективным взаимодействием с другими членами команды, в т.ч. участвовать в обмене информацией, знаниями и опытом, и презентации результатов работы команды</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ИУК-3.5 владеть нормами и установленными правилами командной работы, нести личную ответственность за результат</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«Этика профессиональной деятельности»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1119.25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91.675"/>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Ценности в системе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морали и категории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общения в этике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Ценности в системе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«социальный работник - клиент»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514.43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этики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Актуальность и значение курса «Этика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Значение этических основ в системе социальной работы.</w:t>
            </w:r>
          </w:p>
          <w:p>
            <w:pPr>
              <w:jc w:val="both"/>
              <w:spacing w:after="0" w:line="240" w:lineRule="auto"/>
              <w:rPr>
                <w:sz w:val="24"/>
                <w:szCs w:val="24"/>
              </w:rPr>
            </w:pPr>
            <w:r>
              <w:rPr>
                <w:rFonts w:ascii="Times New Roman" w:hAnsi="Times New Roman" w:cs="Times New Roman"/>
                <w:color w:val="#000000"/>
                <w:sz w:val="24"/>
                <w:szCs w:val="24"/>
              </w:rPr>
              <w:t> Функции профессиональной этики, ее основные элементы.</w:t>
            </w:r>
          </w:p>
          <w:p>
            <w:pPr>
              <w:jc w:val="both"/>
              <w:spacing w:after="0" w:line="240" w:lineRule="auto"/>
              <w:rPr>
                <w:sz w:val="24"/>
                <w:szCs w:val="24"/>
              </w:rPr>
            </w:pPr>
            <w:r>
              <w:rPr>
                <w:rFonts w:ascii="Times New Roman" w:hAnsi="Times New Roman" w:cs="Times New Roman"/>
                <w:color w:val="#000000"/>
                <w:sz w:val="24"/>
                <w:szCs w:val="24"/>
              </w:rPr>
              <w:t> Влияние этических основ на результат практической деятельности социальной работы.</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этики.</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Первичные формы помощи, их влияние на формирование основ социально-этических норм и принципов социальной работы.</w:t>
            </w:r>
          </w:p>
          <w:p>
            <w:pPr>
              <w:jc w:val="both"/>
              <w:spacing w:after="0" w:line="240" w:lineRule="auto"/>
              <w:rPr>
                <w:sz w:val="24"/>
                <w:szCs w:val="24"/>
              </w:rPr>
            </w:pPr>
            <w:r>
              <w:rPr>
                <w:rFonts w:ascii="Times New Roman" w:hAnsi="Times New Roman" w:cs="Times New Roman"/>
                <w:color w:val="#000000"/>
                <w:sz w:val="24"/>
                <w:szCs w:val="24"/>
              </w:rPr>
              <w:t> Становление основных форм социальной заботы о личности</w:t>
            </w:r>
          </w:p>
          <w:p>
            <w:pPr>
              <w:jc w:val="both"/>
              <w:spacing w:after="0" w:line="240" w:lineRule="auto"/>
              <w:rPr>
                <w:sz w:val="24"/>
                <w:szCs w:val="24"/>
              </w:rPr>
            </w:pPr>
            <w:r>
              <w:rPr>
                <w:rFonts w:ascii="Times New Roman" w:hAnsi="Times New Roman" w:cs="Times New Roman"/>
                <w:color w:val="#000000"/>
                <w:sz w:val="24"/>
                <w:szCs w:val="24"/>
              </w:rPr>
              <w:t> на Руси.</w:t>
            </w:r>
          </w:p>
          <w:p>
            <w:pPr>
              <w:jc w:val="both"/>
              <w:spacing w:after="0" w:line="240" w:lineRule="auto"/>
              <w:rPr>
                <w:sz w:val="24"/>
                <w:szCs w:val="24"/>
              </w:rPr>
            </w:pPr>
            <w:r>
              <w:rPr>
                <w:rFonts w:ascii="Times New Roman" w:hAnsi="Times New Roman" w:cs="Times New Roman"/>
                <w:color w:val="#000000"/>
                <w:sz w:val="24"/>
                <w:szCs w:val="24"/>
              </w:rPr>
              <w:t> Переход в России от частной благотворительности к государственной.</w:t>
            </w:r>
          </w:p>
          <w:p>
            <w:pPr>
              <w:jc w:val="both"/>
              <w:spacing w:after="0" w:line="240" w:lineRule="auto"/>
              <w:rPr>
                <w:sz w:val="24"/>
                <w:szCs w:val="24"/>
              </w:rPr>
            </w:pPr>
            <w:r>
              <w:rPr>
                <w:rFonts w:ascii="Times New Roman" w:hAnsi="Times New Roman" w:cs="Times New Roman"/>
                <w:color w:val="#000000"/>
                <w:sz w:val="24"/>
                <w:szCs w:val="24"/>
              </w:rPr>
              <w:t> Формирование этических норм и принципов социальной работы в 1990-е годы.</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этики</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цели и задачи профессиональной этики в системе социальной работы.Основные функции профессионально-этической системы социальной работы. Влияние этики на результат деятельности социального работника.</w:t>
            </w:r>
          </w:p>
        </w:tc>
      </w:tr>
      <w:tr>
        <w:trPr>
          <w:trHeight w:hRule="exact" w:val="14.6995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Ценности в системе социальной работы</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Аксиологические обоснования ценностных ориентиров.</w:t>
            </w:r>
          </w:p>
          <w:p>
            <w:pPr>
              <w:jc w:val="both"/>
              <w:spacing w:after="0" w:line="240" w:lineRule="auto"/>
              <w:rPr>
                <w:sz w:val="24"/>
                <w:szCs w:val="24"/>
              </w:rPr>
            </w:pPr>
            <w:r>
              <w:rPr>
                <w:rFonts w:ascii="Times New Roman" w:hAnsi="Times New Roman" w:cs="Times New Roman"/>
                <w:color w:val="#000000"/>
                <w:sz w:val="24"/>
                <w:szCs w:val="24"/>
              </w:rPr>
              <w:t> Типологизация ценностей, иерархия ценностей.</w:t>
            </w:r>
          </w:p>
          <w:p>
            <w:pPr>
              <w:jc w:val="both"/>
              <w:spacing w:after="0" w:line="240" w:lineRule="auto"/>
              <w:rPr>
                <w:sz w:val="24"/>
                <w:szCs w:val="24"/>
              </w:rPr>
            </w:pPr>
            <w:r>
              <w:rPr>
                <w:rFonts w:ascii="Times New Roman" w:hAnsi="Times New Roman" w:cs="Times New Roman"/>
                <w:color w:val="#000000"/>
                <w:sz w:val="24"/>
                <w:szCs w:val="24"/>
              </w:rPr>
              <w:t> Общечеловеческие и профессиональные ценности.</w:t>
            </w:r>
          </w:p>
          <w:p>
            <w:pPr>
              <w:jc w:val="both"/>
              <w:spacing w:after="0" w:line="240" w:lineRule="auto"/>
              <w:rPr>
                <w:sz w:val="24"/>
                <w:szCs w:val="24"/>
              </w:rPr>
            </w:pPr>
            <w:r>
              <w:rPr>
                <w:rFonts w:ascii="Times New Roman" w:hAnsi="Times New Roman" w:cs="Times New Roman"/>
                <w:color w:val="#000000"/>
                <w:sz w:val="24"/>
                <w:szCs w:val="24"/>
              </w:rPr>
              <w:t> Гуманистические ценности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 Корпачева Людмила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http://www.iprbookshop.ru/8542.html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02.592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2024-2025_ФГОС3++2024_Бак-ЗФО-СР(24)_plx_Этика профессиональной деятельности</dc:title>
  <dc:creator>FastReport.NET</dc:creator>
</cp:coreProperties>
</file>